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352"/>
        <w:gridCol w:w="4395"/>
      </w:tblGrid>
      <w:tr w:rsidR="003B7DFD" w:rsidRPr="00AD319D" w14:paraId="48019675" w14:textId="77777777" w:rsidTr="6C5CB57D">
        <w:tc>
          <w:tcPr>
            <w:tcW w:w="1129" w:type="dxa"/>
          </w:tcPr>
          <w:p w14:paraId="263FED12" w14:textId="7E6302B5" w:rsidR="003B7DFD" w:rsidRPr="00AD319D" w:rsidRDefault="00007E8B">
            <w:pPr>
              <w:rPr>
                <w:sz w:val="24"/>
                <w:szCs w:val="24"/>
              </w:rPr>
            </w:pPr>
            <w:r w:rsidRPr="00AD319D">
              <w:rPr>
                <w:sz w:val="24"/>
                <w:szCs w:val="24"/>
              </w:rPr>
              <w:t>Virksomhe</w:t>
            </w:r>
            <w:r w:rsidR="00351E6F">
              <w:rPr>
                <w:sz w:val="24"/>
                <w:szCs w:val="24"/>
              </w:rPr>
              <w:t>d</w:t>
            </w:r>
          </w:p>
        </w:tc>
        <w:tc>
          <w:tcPr>
            <w:tcW w:w="4395" w:type="dxa"/>
          </w:tcPr>
          <w:p w14:paraId="7D768CB9" w14:textId="678EAB11" w:rsidR="003B7DFD" w:rsidRPr="00AD319D" w:rsidRDefault="005A3CB8">
            <w:pPr>
              <w:rPr>
                <w:sz w:val="24"/>
                <w:szCs w:val="24"/>
              </w:rPr>
            </w:pPr>
            <w:r>
              <w:rPr>
                <w:sz w:val="24"/>
                <w:szCs w:val="24"/>
              </w:rPr>
              <w:t>Nordic Crane</w:t>
            </w:r>
          </w:p>
        </w:tc>
      </w:tr>
      <w:tr w:rsidR="003B7DFD" w:rsidRPr="00AD319D" w14:paraId="28ECFB62" w14:textId="77777777" w:rsidTr="6C5CB57D">
        <w:tc>
          <w:tcPr>
            <w:tcW w:w="1129" w:type="dxa"/>
          </w:tcPr>
          <w:p w14:paraId="7FF5ED14" w14:textId="18B29028" w:rsidR="003B7DFD" w:rsidRPr="00AD319D" w:rsidRDefault="003B7DFD">
            <w:pPr>
              <w:rPr>
                <w:sz w:val="24"/>
                <w:szCs w:val="24"/>
              </w:rPr>
            </w:pPr>
            <w:r w:rsidRPr="00AD319D">
              <w:rPr>
                <w:sz w:val="24"/>
                <w:szCs w:val="24"/>
              </w:rPr>
              <w:t>U</w:t>
            </w:r>
            <w:r w:rsidR="00351E6F">
              <w:rPr>
                <w:sz w:val="24"/>
                <w:szCs w:val="24"/>
              </w:rPr>
              <w:t>dfyldt af</w:t>
            </w:r>
          </w:p>
        </w:tc>
        <w:tc>
          <w:tcPr>
            <w:tcW w:w="4395" w:type="dxa"/>
          </w:tcPr>
          <w:p w14:paraId="18950BA8" w14:textId="7A6800CB" w:rsidR="003B7DFD" w:rsidRPr="00AD319D" w:rsidRDefault="6334C656">
            <w:pPr>
              <w:rPr>
                <w:sz w:val="24"/>
                <w:szCs w:val="24"/>
              </w:rPr>
            </w:pPr>
            <w:r w:rsidRPr="6C5CB57D">
              <w:rPr>
                <w:sz w:val="24"/>
                <w:szCs w:val="24"/>
              </w:rPr>
              <w:t>Kirsti Finsal – KS leder</w:t>
            </w:r>
          </w:p>
        </w:tc>
      </w:tr>
      <w:tr w:rsidR="003B7DFD" w:rsidRPr="00AD319D" w14:paraId="4C75B491" w14:textId="77777777" w:rsidTr="6C5CB57D">
        <w:tc>
          <w:tcPr>
            <w:tcW w:w="1129" w:type="dxa"/>
          </w:tcPr>
          <w:p w14:paraId="26749FCB" w14:textId="5F14268F" w:rsidR="003B7DFD" w:rsidRPr="00AD319D" w:rsidRDefault="003B7DFD">
            <w:pPr>
              <w:rPr>
                <w:sz w:val="24"/>
                <w:szCs w:val="24"/>
              </w:rPr>
            </w:pPr>
            <w:r w:rsidRPr="00AD319D">
              <w:rPr>
                <w:sz w:val="24"/>
                <w:szCs w:val="24"/>
              </w:rPr>
              <w:t>Dato</w:t>
            </w:r>
          </w:p>
        </w:tc>
        <w:tc>
          <w:tcPr>
            <w:tcW w:w="4395" w:type="dxa"/>
          </w:tcPr>
          <w:p w14:paraId="6322E345" w14:textId="768DF67B" w:rsidR="003B7DFD" w:rsidRPr="00AD319D" w:rsidRDefault="6EB533E0">
            <w:pPr>
              <w:rPr>
                <w:sz w:val="24"/>
                <w:szCs w:val="24"/>
              </w:rPr>
            </w:pPr>
            <w:r w:rsidRPr="6C5CB57D">
              <w:rPr>
                <w:sz w:val="24"/>
                <w:szCs w:val="24"/>
              </w:rPr>
              <w:t>30.05.2024</w:t>
            </w:r>
          </w:p>
        </w:tc>
      </w:tr>
      <w:tr w:rsidR="00C37A82" w:rsidRPr="00AD319D" w14:paraId="18740CB9" w14:textId="77777777" w:rsidTr="6C5CB57D">
        <w:tc>
          <w:tcPr>
            <w:tcW w:w="1129" w:type="dxa"/>
          </w:tcPr>
          <w:p w14:paraId="6849CBAF" w14:textId="4A185D88" w:rsidR="00C37A82" w:rsidRPr="00AD319D" w:rsidRDefault="00C37A82">
            <w:pPr>
              <w:rPr>
                <w:sz w:val="24"/>
                <w:szCs w:val="24"/>
              </w:rPr>
            </w:pPr>
            <w:r w:rsidRPr="00AD319D">
              <w:rPr>
                <w:sz w:val="24"/>
                <w:szCs w:val="24"/>
              </w:rPr>
              <w:t>Rapporteringsperiode</w:t>
            </w:r>
          </w:p>
        </w:tc>
        <w:tc>
          <w:tcPr>
            <w:tcW w:w="4395" w:type="dxa"/>
          </w:tcPr>
          <w:p w14:paraId="7217DC87" w14:textId="468F55C5" w:rsidR="00C37A82" w:rsidRPr="00AD319D" w:rsidRDefault="00C37A82">
            <w:pPr>
              <w:rPr>
                <w:sz w:val="24"/>
                <w:szCs w:val="24"/>
              </w:rPr>
            </w:pPr>
            <w:r w:rsidRPr="745AFB65">
              <w:rPr>
                <w:sz w:val="24"/>
                <w:szCs w:val="24"/>
              </w:rPr>
              <w:t>1.7.202</w:t>
            </w:r>
            <w:r w:rsidR="005A3CB8" w:rsidRPr="745AFB65">
              <w:rPr>
                <w:sz w:val="24"/>
                <w:szCs w:val="24"/>
              </w:rPr>
              <w:t>3</w:t>
            </w:r>
            <w:r w:rsidRPr="745AFB65">
              <w:rPr>
                <w:sz w:val="24"/>
                <w:szCs w:val="24"/>
              </w:rPr>
              <w:t xml:space="preserve"> – </w:t>
            </w:r>
            <w:r w:rsidR="005A3CB8" w:rsidRPr="745AFB65">
              <w:rPr>
                <w:sz w:val="24"/>
                <w:szCs w:val="24"/>
              </w:rPr>
              <w:t>30.0</w:t>
            </w:r>
            <w:r w:rsidR="277DF1B1" w:rsidRPr="745AFB65">
              <w:rPr>
                <w:sz w:val="24"/>
                <w:szCs w:val="24"/>
              </w:rPr>
              <w:t>5</w:t>
            </w:r>
            <w:r w:rsidR="005A3CB8" w:rsidRPr="745AFB65">
              <w:rPr>
                <w:sz w:val="24"/>
                <w:szCs w:val="24"/>
              </w:rPr>
              <w:t>.2024</w:t>
            </w:r>
          </w:p>
        </w:tc>
      </w:tr>
    </w:tbl>
    <w:p w14:paraId="645618EE" w14:textId="77777777" w:rsidR="00446AA2" w:rsidRDefault="00446AA2" w:rsidP="006E39C9">
      <w:pPr>
        <w:spacing w:after="0"/>
        <w:rPr>
          <w:sz w:val="24"/>
          <w:szCs w:val="24"/>
        </w:rPr>
      </w:pPr>
    </w:p>
    <w:p w14:paraId="7DE2FD94" w14:textId="3A7396D1" w:rsidR="00D22E55" w:rsidRPr="00351E6F" w:rsidRDefault="00351E6F" w:rsidP="00351E6F">
      <w:pPr>
        <w:rPr>
          <w:b/>
          <w:bCs/>
        </w:rPr>
      </w:pPr>
      <w:r w:rsidRPr="00351E6F">
        <w:rPr>
          <w:b/>
          <w:bCs/>
        </w:rPr>
        <w:t>Åbenhedsloven § 5a: Generel beskrivelse af virksomhedens organisering, driftsområde, retningslinjer og rutiner for at håndtere faktiske og potentielle negative konsekvenser for grundlæggende menneskerettigheder og anstændige arbejdsforhold.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5532B7" w:rsidRPr="00AD319D" w14:paraId="1B64FB4B" w14:textId="77777777" w:rsidTr="6C5CB57D">
        <w:trPr>
          <w:trHeight w:val="1064"/>
        </w:trPr>
        <w:tc>
          <w:tcPr>
            <w:tcW w:w="9493" w:type="dxa"/>
          </w:tcPr>
          <w:p w14:paraId="4CD3E41F" w14:textId="77777777" w:rsidR="00351E6F" w:rsidRPr="00351E6F" w:rsidRDefault="00351E6F" w:rsidP="00351E6F">
            <w:pPr>
              <w:rPr>
                <w:b/>
                <w:bCs/>
              </w:rPr>
            </w:pPr>
            <w:r w:rsidRPr="00351E6F">
              <w:rPr>
                <w:b/>
                <w:bCs/>
              </w:rPr>
              <w:t>Organisering</w:t>
            </w:r>
          </w:p>
          <w:p w14:paraId="20C04EBB" w14:textId="77777777" w:rsidR="00427E56" w:rsidRDefault="00351E6F" w:rsidP="00351E6F">
            <w:r w:rsidRPr="00351E6F">
              <w:t xml:space="preserve">Vores virksomhed er organiseret som et aktieselskab med hovedkontor og forretningsadresse på </w:t>
            </w:r>
            <w:r w:rsidR="002769F2">
              <w:t>Jegstrupvej</w:t>
            </w:r>
            <w:r w:rsidRPr="00351E6F">
              <w:t xml:space="preserve"> i </w:t>
            </w:r>
            <w:r w:rsidR="002769F2">
              <w:t xml:space="preserve">Hasselager, Aarhus Kommune </w:t>
            </w:r>
            <w:r w:rsidRPr="00351E6F">
              <w:t>og vi har</w:t>
            </w:r>
            <w:r w:rsidR="002769F2">
              <w:t xml:space="preserve"> yderligere en</w:t>
            </w:r>
            <w:r w:rsidRPr="00351E6F">
              <w:t xml:space="preserve"> afdeling i </w:t>
            </w:r>
            <w:r w:rsidR="002769F2">
              <w:t>Kvistgård, Espegærde.</w:t>
            </w:r>
          </w:p>
          <w:p w14:paraId="6832F254" w14:textId="3D7B9ABC" w:rsidR="00427E56" w:rsidRDefault="00427E56" w:rsidP="00427E56">
            <w:pPr>
              <w:spacing w:after="0"/>
              <w:rPr>
                <w:rFonts w:cstheme="minorHAnsi"/>
                <w:sz w:val="24"/>
                <w:szCs w:val="24"/>
              </w:rPr>
            </w:pPr>
            <w:r>
              <w:rPr>
                <w:rFonts w:cstheme="minorHAnsi"/>
                <w:sz w:val="24"/>
                <w:szCs w:val="24"/>
              </w:rPr>
              <w:t xml:space="preserve">Vores virksomhed er en del af det organiserede arbejdsliv og er tilsluttet tiltrædelses-overenskomsten mellem Dansk Byggeri og Fælles Faglig Forbund (3F). Vi er yderligere tilknyttet den uafhængige Kranforening. </w:t>
            </w:r>
          </w:p>
          <w:p w14:paraId="7A9B7F67" w14:textId="77777777" w:rsidR="00427E56" w:rsidRPr="00427E56" w:rsidRDefault="00427E56" w:rsidP="00427E56">
            <w:pPr>
              <w:spacing w:after="0"/>
              <w:rPr>
                <w:rFonts w:cstheme="minorHAnsi"/>
                <w:sz w:val="24"/>
                <w:szCs w:val="24"/>
              </w:rPr>
            </w:pPr>
          </w:p>
          <w:p w14:paraId="3090B8A0" w14:textId="0C9917CE" w:rsidR="00351E6F" w:rsidRPr="00427E56" w:rsidRDefault="00351E6F" w:rsidP="00351E6F">
            <w:r w:rsidRPr="00351E6F">
              <w:rPr>
                <w:b/>
                <w:bCs/>
              </w:rPr>
              <w:t>Driftsområde</w:t>
            </w:r>
          </w:p>
          <w:p w14:paraId="3B07A6CB" w14:textId="50081184" w:rsidR="00351E6F" w:rsidRPr="00351E6F" w:rsidRDefault="00351E6F" w:rsidP="00351E6F">
            <w:r w:rsidRPr="00351E6F">
              <w:t>Nordic Crane A</w:t>
            </w:r>
            <w:r w:rsidR="002769F2">
              <w:t>/</w:t>
            </w:r>
            <w:r w:rsidRPr="00351E6F">
              <w:t xml:space="preserve">S leverer tjenester inden for mobilkraner, lastbilkraner, specialtransport og heavy lift. Vores transportvirksomhed er ikke en del af kernevirksomheden, men en intern tjeneste. Vi opererer lokalt, nationalt og i </w:t>
            </w:r>
            <w:r w:rsidR="002769F2">
              <w:t xml:space="preserve">hele </w:t>
            </w:r>
            <w:r w:rsidRPr="00351E6F">
              <w:t>Skandinavien. Driften omfatte</w:t>
            </w:r>
            <w:r w:rsidR="002769F2">
              <w:t>r</w:t>
            </w:r>
            <w:r w:rsidRPr="00351E6F">
              <w:t xml:space="preserve"> ikke egenimport af produkter.</w:t>
            </w:r>
          </w:p>
          <w:p w14:paraId="2F969D54" w14:textId="77777777" w:rsidR="00351E6F" w:rsidRPr="00351E6F" w:rsidRDefault="00351E6F" w:rsidP="00351E6F">
            <w:pPr>
              <w:rPr>
                <w:b/>
                <w:bCs/>
              </w:rPr>
            </w:pPr>
            <w:r w:rsidRPr="00351E6F">
              <w:rPr>
                <w:b/>
                <w:bCs/>
              </w:rPr>
              <w:t>Rutiner/retningslinjer</w:t>
            </w:r>
          </w:p>
          <w:p w14:paraId="401E625A" w14:textId="77777777" w:rsidR="00351E6F" w:rsidRPr="00351E6F" w:rsidRDefault="00351E6F" w:rsidP="00351E6F">
            <w:r w:rsidRPr="00351E6F">
              <w:t>Nordic Crane har defineret og beskrevet sit arbejde inden for bæredygtighed og har et sæt af principper og værdier, der vejleder organisationens beslutninger og handlinger med fokus på moral og integritet, kaldet etiske retningslinjer. Dette er beskrevet i vores ledelsessystem og er tilgængeligt på vores hjemmesider.</w:t>
            </w:r>
          </w:p>
          <w:p w14:paraId="2D147C2A" w14:textId="00DBF4CA" w:rsidR="1A0DD1D7" w:rsidRPr="00351E6F" w:rsidRDefault="00351E6F" w:rsidP="00351E6F">
            <w:r w:rsidRPr="00351E6F">
              <w:t xml:space="preserve">Der er etableret retningslinjer og rutiner for at håndtere faktiske og potentielle negative konsekvenser for grundlæggende menneskerettigheder og anstændige arbejdsforhold: </w:t>
            </w:r>
            <w:hyperlink r:id="rId10">
              <w:r w:rsidR="1A0DD1D7" w:rsidRPr="00351E6F">
                <w:rPr>
                  <w:rStyle w:val="Hyperlink"/>
                </w:rPr>
                <w:t>Åpenhetsloven - Nordic Crane Norge</w:t>
              </w:r>
            </w:hyperlink>
          </w:p>
          <w:p w14:paraId="64E209F8" w14:textId="67FF8116" w:rsidR="00351E6F" w:rsidRPr="00351E6F" w:rsidRDefault="00351E6F" w:rsidP="00351E6F">
            <w:pPr>
              <w:rPr>
                <w:b/>
                <w:bCs/>
              </w:rPr>
            </w:pPr>
            <w:r w:rsidRPr="00351E6F">
              <w:rPr>
                <w:b/>
                <w:bCs/>
              </w:rPr>
              <w:t>Vores rutiner og retningslinjer er forankret hos daglig leder og bestyrelsen i Nordic Crane A</w:t>
            </w:r>
            <w:r w:rsidR="002769F2">
              <w:rPr>
                <w:b/>
                <w:bCs/>
              </w:rPr>
              <w:t>/</w:t>
            </w:r>
            <w:r w:rsidRPr="00351E6F">
              <w:rPr>
                <w:b/>
                <w:bCs/>
              </w:rPr>
              <w:t>S.</w:t>
            </w:r>
          </w:p>
          <w:p w14:paraId="4EA56BD9" w14:textId="77777777" w:rsidR="00351E6F" w:rsidRPr="00351E6F" w:rsidRDefault="00351E6F" w:rsidP="00351E6F">
            <w:r w:rsidRPr="00351E6F">
              <w:t>I kontrakter stilles der krav forbundet med åbenhedsloven gennem Nordic Crane sine kontraktbestemmelser. Bestemmelserne sikrer virksomheden adgang til underleverandørers agtsomhedsvurderinger. Kontraktbestemmelserne inkluderer også krav til løn- og arbejdsvilkår samt intern kontrol, sikkerhed, sundhed og arbejdsmiljø for arbejde, der udføres i Norge.</w:t>
            </w:r>
          </w:p>
          <w:p w14:paraId="17EDDDDC" w14:textId="3510F9B7" w:rsidR="005532B7" w:rsidRPr="00351E6F" w:rsidRDefault="005532B7">
            <w:pPr>
              <w:spacing w:after="0"/>
              <w:rPr>
                <w:rFonts w:cstheme="minorHAnsi"/>
                <w:sz w:val="24"/>
                <w:szCs w:val="24"/>
                <w:lang w:val="en-DK"/>
              </w:rPr>
            </w:pPr>
          </w:p>
        </w:tc>
      </w:tr>
    </w:tbl>
    <w:p w14:paraId="09264F94" w14:textId="77777777" w:rsidR="002769F2" w:rsidRDefault="002769F2" w:rsidP="00E32872">
      <w:pPr>
        <w:spacing w:after="0"/>
        <w:rPr>
          <w:rFonts w:cstheme="minorHAnsi"/>
          <w:b/>
          <w:bCs/>
          <w:color w:val="333333"/>
          <w:sz w:val="24"/>
          <w:szCs w:val="24"/>
          <w:shd w:val="clear" w:color="auto" w:fill="FFFFFF"/>
        </w:rPr>
      </w:pPr>
    </w:p>
    <w:p w14:paraId="601361FD" w14:textId="1DC78688" w:rsidR="00351E6F" w:rsidRPr="00351E6F" w:rsidRDefault="00351E6F" w:rsidP="00351E6F">
      <w:pPr>
        <w:rPr>
          <w:b/>
          <w:bCs/>
        </w:rPr>
      </w:pPr>
      <w:r w:rsidRPr="00351E6F">
        <w:rPr>
          <w:b/>
          <w:bCs/>
        </w:rPr>
        <w:t>Åbenhedsloven § 5b: Oplysninger om faktiske negative konsekvenser og væsentlig risiko for negative konsekvenser, som virksomheden har afdækket gennem sine agtsomhedsvurderinger</w:t>
      </w:r>
      <w:r>
        <w:rPr>
          <w:b/>
          <w:bCs/>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60E49" w:rsidRPr="00AD319D" w14:paraId="5B47DA5B" w14:textId="77777777" w:rsidTr="6C5CB57D">
        <w:tc>
          <w:tcPr>
            <w:tcW w:w="9493" w:type="dxa"/>
            <w:tcBorders>
              <w:bottom w:val="dashed" w:sz="4" w:space="0" w:color="000000" w:themeColor="text1"/>
            </w:tcBorders>
          </w:tcPr>
          <w:p w14:paraId="77A6F668" w14:textId="7609245F" w:rsidR="00F60E49" w:rsidRPr="00AD319D" w:rsidRDefault="00F60E49" w:rsidP="008C1CF6">
            <w:pPr>
              <w:spacing w:after="0"/>
              <w:rPr>
                <w:rFonts w:cstheme="minorHAnsi"/>
                <w:sz w:val="24"/>
                <w:szCs w:val="24"/>
              </w:rPr>
            </w:pPr>
            <w:r w:rsidRPr="002769F2">
              <w:rPr>
                <w:rFonts w:cstheme="minorHAnsi"/>
                <w:b/>
                <w:bCs/>
                <w:sz w:val="24"/>
                <w:szCs w:val="24"/>
              </w:rPr>
              <w:t>Beskrivelse</w:t>
            </w:r>
            <w:r w:rsidRPr="00AD319D">
              <w:rPr>
                <w:rFonts w:cstheme="minorHAnsi"/>
                <w:sz w:val="24"/>
                <w:szCs w:val="24"/>
              </w:rPr>
              <w:t>:</w:t>
            </w:r>
          </w:p>
        </w:tc>
      </w:tr>
      <w:tr w:rsidR="00F60E49" w:rsidRPr="00AD319D" w14:paraId="78B029EF" w14:textId="77777777" w:rsidTr="6C5CB57D">
        <w:tc>
          <w:tcPr>
            <w:tcW w:w="9493" w:type="dxa"/>
            <w:tcBorders>
              <w:top w:val="dashed" w:sz="4" w:space="0" w:color="000000" w:themeColor="text1"/>
            </w:tcBorders>
          </w:tcPr>
          <w:p w14:paraId="0975C3BE" w14:textId="77777777" w:rsidR="00351E6F" w:rsidRPr="00351E6F" w:rsidRDefault="00351E6F" w:rsidP="00351E6F">
            <w:r w:rsidRPr="00351E6F">
              <w:t xml:space="preserve">Kortlægning af leverandørkæder og agtsomhedsvurderinger er igangsat, og Nordic Crane lægger OECDs vejledning for agtsomhedsvurderinger for ansvarlig erhvervsdrift til grund for vores arbejde. Vi har </w:t>
            </w:r>
            <w:r w:rsidRPr="00351E6F">
              <w:lastRenderedPageBreak/>
              <w:t>prioriteret kortlægning af værdikæder knyttet til vores kernevirksomhed, leverandører med væsentlig størrelse og som er kritiske for vores leverancer af kran-tjenester.</w:t>
            </w:r>
          </w:p>
          <w:p w14:paraId="05E2FDBC" w14:textId="77777777" w:rsidR="00351E6F" w:rsidRPr="00351E6F" w:rsidRDefault="00351E6F" w:rsidP="00351E6F">
            <w:r w:rsidRPr="00351E6F">
              <w:t>I agtsomhedsvurderinger vurderes eventuel væsentlig skade på mennesker, social dumping og børnearbejde. Processen er under udvikling og forbedring, så vurderingerne og rapporteringen i leverandørleddet over tid bliver bedre og mere præcise.</w:t>
            </w:r>
          </w:p>
          <w:p w14:paraId="702CC121" w14:textId="77777777" w:rsidR="00351E6F" w:rsidRPr="00351E6F" w:rsidRDefault="00351E6F" w:rsidP="00351E6F">
            <w:r w:rsidRPr="00351E6F">
              <w:t>Både risiko knyttet til egen virksomhed og leverandørleddet vurderes på baggrund af faktiske fund, mens væsentlig risiko knyttet til værdikæden bagud efter første og andet leverandørled hovedsageligt er baseret på research.</w:t>
            </w:r>
          </w:p>
          <w:p w14:paraId="24732CA0" w14:textId="77777777" w:rsidR="00351E6F" w:rsidRPr="00351E6F" w:rsidRDefault="00351E6F" w:rsidP="00351E6F">
            <w:pPr>
              <w:rPr>
                <w:b/>
                <w:bCs/>
              </w:rPr>
            </w:pPr>
            <w:r w:rsidRPr="00351E6F">
              <w:rPr>
                <w:b/>
                <w:bCs/>
              </w:rPr>
              <w:t xml:space="preserve">Arbejds- og ansættelsesforhold: </w:t>
            </w:r>
          </w:p>
          <w:p w14:paraId="7FF9F2CA" w14:textId="738084CA" w:rsidR="00351E6F" w:rsidRPr="00351E6F" w:rsidRDefault="00351E6F" w:rsidP="00351E6F">
            <w:r w:rsidRPr="00351E6F">
              <w:t>Vores egen kernevirksomhed har en høj grad af sikkerhedsrisiko, hvor skade på mennesker kan være af alvorlig grad. Vi har ikke afdækket væsentlige negative fund i egen virksomhed eller i vores værdikæde i rapporteringsperioden. Vi anser, at der kan være risiko for sikkerhed, støveksponering, giftige gasser, kemikalier, dårlig løn og generelle arbejdsvilkår/forhold i forbindelse med produktion af stål og batterier til vores maskiner langt ud i leverandørkæden i lande uden for Europa.</w:t>
            </w:r>
          </w:p>
          <w:p w14:paraId="652AB24D" w14:textId="77777777" w:rsidR="00351E6F" w:rsidRPr="00351E6F" w:rsidRDefault="00351E6F" w:rsidP="00351E6F">
            <w:pPr>
              <w:rPr>
                <w:b/>
                <w:bCs/>
              </w:rPr>
            </w:pPr>
            <w:r w:rsidRPr="00351E6F">
              <w:rPr>
                <w:b/>
                <w:bCs/>
              </w:rPr>
              <w:t xml:space="preserve">Tvangs- og børnearbejde: </w:t>
            </w:r>
          </w:p>
          <w:p w14:paraId="32E42D7D" w14:textId="7183B7AF" w:rsidR="00351E6F" w:rsidRPr="00351E6F" w:rsidRDefault="00351E6F" w:rsidP="00351E6F">
            <w:r w:rsidRPr="00351E6F">
              <w:t>Vi har ingen fund og har ingen research på nuværende tidspunkt, der indikerer, at der forekommer tvangs- og børnearbejde længere ud i leverandørkæden i lande uden for Europa, som kan give væsentlige negative konsekvenser. Der vil blive iværksat tiltag, hvis dette opdages, og selskabet vil bidrage til at bekæmpe dette.</w:t>
            </w:r>
          </w:p>
          <w:p w14:paraId="55715AAB" w14:textId="46B784FD" w:rsidR="00F60E49" w:rsidRPr="00826880" w:rsidRDefault="00F60E49" w:rsidP="00826880">
            <w:pPr>
              <w:spacing w:after="0"/>
              <w:rPr>
                <w:rFonts w:ascii="Calibri" w:eastAsia="Calibri" w:hAnsi="Calibri" w:cs="Calibri"/>
                <w:sz w:val="24"/>
                <w:szCs w:val="24"/>
              </w:rPr>
            </w:pPr>
          </w:p>
        </w:tc>
      </w:tr>
    </w:tbl>
    <w:p w14:paraId="7A4FE17A" w14:textId="77777777" w:rsidR="002769F2" w:rsidRDefault="002769F2" w:rsidP="00E32872">
      <w:pPr>
        <w:spacing w:line="240" w:lineRule="auto"/>
        <w:rPr>
          <w:rFonts w:cstheme="minorHAnsi"/>
          <w:b/>
          <w:sz w:val="24"/>
          <w:szCs w:val="24"/>
        </w:rPr>
      </w:pPr>
    </w:p>
    <w:p w14:paraId="23F97B83" w14:textId="3F07E686" w:rsidR="002769F2" w:rsidRPr="002769F2" w:rsidRDefault="002769F2" w:rsidP="002769F2">
      <w:pPr>
        <w:rPr>
          <w:b/>
          <w:bCs/>
        </w:rPr>
      </w:pPr>
      <w:r w:rsidRPr="002769F2">
        <w:rPr>
          <w:b/>
          <w:bCs/>
        </w:rPr>
        <w:t>Åbenhedsloven § 5c: Oplysninger om eventuelle tiltag, virksomheden har iværksat eller planlægger at iværksætte for at standse faktiske negative konsekvenser eller begrænse væsentlig risiko for negative konsekvenser, og resultatet eller forventede resultater af disse tiltag</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585C26" w:rsidRPr="00AD319D" w14:paraId="716E26CB" w14:textId="77777777" w:rsidTr="6C5CB57D">
        <w:tc>
          <w:tcPr>
            <w:tcW w:w="9493" w:type="dxa"/>
            <w:tcBorders>
              <w:bottom w:val="single" w:sz="4" w:space="0" w:color="auto"/>
            </w:tcBorders>
          </w:tcPr>
          <w:p w14:paraId="02798FC8" w14:textId="6BF3219D" w:rsidR="00585C26" w:rsidRPr="002769F2" w:rsidRDefault="00585C26">
            <w:pPr>
              <w:spacing w:after="0"/>
              <w:rPr>
                <w:rFonts w:cstheme="minorHAnsi"/>
                <w:b/>
                <w:bCs/>
                <w:sz w:val="24"/>
                <w:szCs w:val="24"/>
              </w:rPr>
            </w:pPr>
            <w:r w:rsidRPr="002769F2">
              <w:rPr>
                <w:b/>
                <w:bCs/>
                <w:sz w:val="24"/>
                <w:szCs w:val="24"/>
              </w:rPr>
              <w:t>Beskrivelse</w:t>
            </w:r>
          </w:p>
          <w:p w14:paraId="474E7C14" w14:textId="77777777" w:rsidR="002769F2" w:rsidRPr="002769F2" w:rsidRDefault="002769F2" w:rsidP="002769F2">
            <w:r w:rsidRPr="002769F2">
              <w:t>Vi gennemfører egne undersøgelser af leverandører, opdaterer interne retningslinjer for arbejdsmiljøarbejde, krav til leverandører i kontrakter, vurdering af nuværende og nye leverandører. Vores virksomhed udfører kontrol af løn- og arbejdsvilkår hos vores underleverandører ved behov.</w:t>
            </w:r>
          </w:p>
          <w:p w14:paraId="28FAD3A6" w14:textId="143FF3D9" w:rsidR="002769F2" w:rsidRPr="002769F2" w:rsidRDefault="002769F2" w:rsidP="002769F2">
            <w:r w:rsidRPr="002769F2">
              <w:t>Vi bruger BNLs</w:t>
            </w:r>
            <w:r w:rsidR="006A6706">
              <w:t xml:space="preserve"> (Byggenæringens Landsforening)</w:t>
            </w:r>
            <w:r w:rsidRPr="002769F2">
              <w:t xml:space="preserve"> vejledning for valg af seriøse virksomheder for at fremme de formål, som åbenhedsloven og anden lovgivning skal fremme (arbejdsmiljøloven, bygherreforskriften, allmenngjøringsloven, forskrifter om allmenngøring af overenskomster, forskrift om løn- og arbejdsvilkår i offentlige kontrakter mv.). Vi har opdateret vores varslingsrutine og oprettet en særskilt varslingskanal via Nordic Crane's hjemmeside.</w:t>
            </w:r>
          </w:p>
          <w:p w14:paraId="39964C9D" w14:textId="77777777" w:rsidR="002769F2" w:rsidRPr="002769F2" w:rsidRDefault="002769F2" w:rsidP="002769F2">
            <w:r w:rsidRPr="002769F2">
              <w:t>På sigt vil vi vurdere et system til håndtering af leverandører med automatisk varsling ved brud på åbenhedsloven.</w:t>
            </w:r>
          </w:p>
          <w:p w14:paraId="5069444D" w14:textId="747A7CC2" w:rsidR="00E32872" w:rsidRPr="006A6706" w:rsidRDefault="002769F2" w:rsidP="006A6706">
            <w:r w:rsidRPr="002769F2">
              <w:t>Tiltagene forventes at bidrage til øget mulighed for at vurdere og opfange risiko for brud på de formål, åbenhedsloven skal varetage.</w:t>
            </w:r>
          </w:p>
        </w:tc>
      </w:tr>
    </w:tbl>
    <w:p w14:paraId="156FA30D" w14:textId="5B370781" w:rsidR="006414AE" w:rsidRDefault="006414AE" w:rsidP="005041D1"/>
    <w:sectPr w:rsidR="006414AE" w:rsidSect="00754BC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33E3D" w14:textId="77777777" w:rsidR="001D5A8B" w:rsidRDefault="001D5A8B" w:rsidP="006E39C9">
      <w:pPr>
        <w:spacing w:after="0" w:line="240" w:lineRule="auto"/>
      </w:pPr>
      <w:r>
        <w:separator/>
      </w:r>
    </w:p>
  </w:endnote>
  <w:endnote w:type="continuationSeparator" w:id="0">
    <w:p w14:paraId="45A63374" w14:textId="77777777" w:rsidR="001D5A8B" w:rsidRDefault="001D5A8B" w:rsidP="006E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7370205"/>
      <w:docPartObj>
        <w:docPartGallery w:val="Page Numbers (Bottom of Page)"/>
        <w:docPartUnique/>
      </w:docPartObj>
    </w:sdtPr>
    <w:sdtContent>
      <w:p w14:paraId="276F3F03" w14:textId="7D34BCA7" w:rsidR="00526A85" w:rsidRDefault="00526A85">
        <w:pPr>
          <w:pStyle w:val="Footer"/>
          <w:jc w:val="right"/>
        </w:pPr>
        <w:r>
          <w:fldChar w:fldCharType="begin"/>
        </w:r>
        <w:r>
          <w:instrText>PAGE   \* MERGEFORMAT</w:instrText>
        </w:r>
        <w:r>
          <w:fldChar w:fldCharType="separate"/>
        </w:r>
        <w:r>
          <w:t>2</w:t>
        </w:r>
        <w:r>
          <w:fldChar w:fldCharType="end"/>
        </w:r>
      </w:p>
    </w:sdtContent>
  </w:sdt>
  <w:p w14:paraId="2187E472" w14:textId="77777777" w:rsidR="00526A85" w:rsidRDefault="0052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E6975" w14:textId="77777777" w:rsidR="001D5A8B" w:rsidRDefault="001D5A8B" w:rsidP="006E39C9">
      <w:pPr>
        <w:spacing w:after="0" w:line="240" w:lineRule="auto"/>
      </w:pPr>
      <w:r>
        <w:separator/>
      </w:r>
    </w:p>
  </w:footnote>
  <w:footnote w:type="continuationSeparator" w:id="0">
    <w:p w14:paraId="31CF0C96" w14:textId="77777777" w:rsidR="001D5A8B" w:rsidRDefault="001D5A8B" w:rsidP="006E3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5566C" w14:textId="1F503B77" w:rsidR="006E39C9" w:rsidRPr="006E39C9" w:rsidRDefault="006657D6">
    <w:pPr>
      <w:pStyle w:val="Header"/>
      <w:rPr>
        <w:b/>
        <w:bCs/>
        <w:sz w:val="32"/>
        <w:szCs w:val="32"/>
      </w:rPr>
    </w:pPr>
    <w:r>
      <w:rPr>
        <w:b/>
        <w:bCs/>
        <w:noProof/>
        <w:sz w:val="32"/>
        <w:szCs w:val="32"/>
      </w:rPr>
      <w:drawing>
        <wp:anchor distT="0" distB="0" distL="114300" distR="114300" simplePos="0" relativeHeight="251658240" behindDoc="1" locked="0" layoutInCell="1" allowOverlap="1" wp14:anchorId="0F1AD034" wp14:editId="0C0699AE">
          <wp:simplePos x="0" y="0"/>
          <wp:positionH relativeFrom="column">
            <wp:posOffset>4671487</wp:posOffset>
          </wp:positionH>
          <wp:positionV relativeFrom="paragraph">
            <wp:posOffset>-176076</wp:posOffset>
          </wp:positionV>
          <wp:extent cx="1548765" cy="420370"/>
          <wp:effectExtent l="0" t="0" r="0" b="0"/>
          <wp:wrapNone/>
          <wp:docPr id="91885980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20370"/>
                  </a:xfrm>
                  <a:prstGeom prst="rect">
                    <a:avLst/>
                  </a:prstGeom>
                  <a:noFill/>
                </pic:spPr>
              </pic:pic>
            </a:graphicData>
          </a:graphic>
        </wp:anchor>
      </w:drawing>
    </w:r>
    <w:r w:rsidR="00351E6F">
      <w:rPr>
        <w:b/>
        <w:bCs/>
        <w:sz w:val="32"/>
        <w:szCs w:val="32"/>
      </w:rPr>
      <w:t>Redegørelse for agtsomhedsvurderinger 2024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C9"/>
    <w:rsid w:val="00007E8B"/>
    <w:rsid w:val="00055D4F"/>
    <w:rsid w:val="0005647B"/>
    <w:rsid w:val="000A2E1E"/>
    <w:rsid w:val="000B78CB"/>
    <w:rsid w:val="00127DB1"/>
    <w:rsid w:val="00141CCE"/>
    <w:rsid w:val="00150AAA"/>
    <w:rsid w:val="001532FE"/>
    <w:rsid w:val="001613D4"/>
    <w:rsid w:val="001D5A8B"/>
    <w:rsid w:val="001D783C"/>
    <w:rsid w:val="002769F2"/>
    <w:rsid w:val="00282FBD"/>
    <w:rsid w:val="00316818"/>
    <w:rsid w:val="0032734A"/>
    <w:rsid w:val="00341F13"/>
    <w:rsid w:val="00351E6F"/>
    <w:rsid w:val="0037236E"/>
    <w:rsid w:val="00373C55"/>
    <w:rsid w:val="00380701"/>
    <w:rsid w:val="00393BB9"/>
    <w:rsid w:val="003B7DFD"/>
    <w:rsid w:val="003E7979"/>
    <w:rsid w:val="00427E56"/>
    <w:rsid w:val="00443B81"/>
    <w:rsid w:val="00446AA2"/>
    <w:rsid w:val="004D6B6E"/>
    <w:rsid w:val="004F64AA"/>
    <w:rsid w:val="005041D1"/>
    <w:rsid w:val="00526A85"/>
    <w:rsid w:val="005532B7"/>
    <w:rsid w:val="00585C26"/>
    <w:rsid w:val="005A3CB8"/>
    <w:rsid w:val="005F6F20"/>
    <w:rsid w:val="0061684C"/>
    <w:rsid w:val="006204EE"/>
    <w:rsid w:val="00623AC1"/>
    <w:rsid w:val="006414AE"/>
    <w:rsid w:val="0065052B"/>
    <w:rsid w:val="00656B50"/>
    <w:rsid w:val="0066215C"/>
    <w:rsid w:val="006657D6"/>
    <w:rsid w:val="006679EB"/>
    <w:rsid w:val="00672EA0"/>
    <w:rsid w:val="00676FBD"/>
    <w:rsid w:val="006A6706"/>
    <w:rsid w:val="006C0AC9"/>
    <w:rsid w:val="006E39C9"/>
    <w:rsid w:val="00754BCA"/>
    <w:rsid w:val="00756258"/>
    <w:rsid w:val="007869AA"/>
    <w:rsid w:val="007E3161"/>
    <w:rsid w:val="0080598C"/>
    <w:rsid w:val="008138C0"/>
    <w:rsid w:val="008159B1"/>
    <w:rsid w:val="00820F23"/>
    <w:rsid w:val="00826880"/>
    <w:rsid w:val="00832C1C"/>
    <w:rsid w:val="008940D8"/>
    <w:rsid w:val="008A1B84"/>
    <w:rsid w:val="008B15A4"/>
    <w:rsid w:val="00905A78"/>
    <w:rsid w:val="00956D2E"/>
    <w:rsid w:val="00984FF1"/>
    <w:rsid w:val="009B31FE"/>
    <w:rsid w:val="00A1772B"/>
    <w:rsid w:val="00A5437B"/>
    <w:rsid w:val="00A543DB"/>
    <w:rsid w:val="00A60325"/>
    <w:rsid w:val="00A71168"/>
    <w:rsid w:val="00A962E7"/>
    <w:rsid w:val="00AA1064"/>
    <w:rsid w:val="00AA7B78"/>
    <w:rsid w:val="00AD319D"/>
    <w:rsid w:val="00AE0C73"/>
    <w:rsid w:val="00AF57D8"/>
    <w:rsid w:val="00B0173A"/>
    <w:rsid w:val="00B22F9C"/>
    <w:rsid w:val="00B815A7"/>
    <w:rsid w:val="00BB21BB"/>
    <w:rsid w:val="00BD17F1"/>
    <w:rsid w:val="00C37A82"/>
    <w:rsid w:val="00C46866"/>
    <w:rsid w:val="00CE0AAF"/>
    <w:rsid w:val="00CE2582"/>
    <w:rsid w:val="00D22E55"/>
    <w:rsid w:val="00DB40B0"/>
    <w:rsid w:val="00E24581"/>
    <w:rsid w:val="00E32872"/>
    <w:rsid w:val="00E86F35"/>
    <w:rsid w:val="00E951B5"/>
    <w:rsid w:val="00EC44E9"/>
    <w:rsid w:val="00ED72C6"/>
    <w:rsid w:val="00F26385"/>
    <w:rsid w:val="00F3266C"/>
    <w:rsid w:val="00F44C40"/>
    <w:rsid w:val="00F50C1F"/>
    <w:rsid w:val="00F531D3"/>
    <w:rsid w:val="00F60E49"/>
    <w:rsid w:val="00FA263F"/>
    <w:rsid w:val="00FD7E93"/>
    <w:rsid w:val="014E8988"/>
    <w:rsid w:val="01FF2472"/>
    <w:rsid w:val="02AD66FF"/>
    <w:rsid w:val="03335ADF"/>
    <w:rsid w:val="03F865A3"/>
    <w:rsid w:val="03FDA054"/>
    <w:rsid w:val="05381658"/>
    <w:rsid w:val="05C9BB71"/>
    <w:rsid w:val="05CDF133"/>
    <w:rsid w:val="063F1B60"/>
    <w:rsid w:val="07200A07"/>
    <w:rsid w:val="0755B913"/>
    <w:rsid w:val="0799C4A0"/>
    <w:rsid w:val="07C0F763"/>
    <w:rsid w:val="09685EBC"/>
    <w:rsid w:val="0A771CE4"/>
    <w:rsid w:val="0DB665CD"/>
    <w:rsid w:val="0DF91CF4"/>
    <w:rsid w:val="0E6A322D"/>
    <w:rsid w:val="0EC08512"/>
    <w:rsid w:val="0ED3FE28"/>
    <w:rsid w:val="104EEBAD"/>
    <w:rsid w:val="11879F1B"/>
    <w:rsid w:val="12962B39"/>
    <w:rsid w:val="12D08261"/>
    <w:rsid w:val="14356011"/>
    <w:rsid w:val="14AFEAC2"/>
    <w:rsid w:val="161B97C1"/>
    <w:rsid w:val="162EFE6E"/>
    <w:rsid w:val="16A4A6E0"/>
    <w:rsid w:val="17DEDD5F"/>
    <w:rsid w:val="183F17A7"/>
    <w:rsid w:val="19585A26"/>
    <w:rsid w:val="1A0DD1D7"/>
    <w:rsid w:val="1A4117C3"/>
    <w:rsid w:val="1A46E45B"/>
    <w:rsid w:val="1B0EB0D0"/>
    <w:rsid w:val="1B14CF5E"/>
    <w:rsid w:val="1B1868D3"/>
    <w:rsid w:val="1C9B0DBF"/>
    <w:rsid w:val="1E040A57"/>
    <w:rsid w:val="1E37B216"/>
    <w:rsid w:val="1E5AC229"/>
    <w:rsid w:val="1EC1B59B"/>
    <w:rsid w:val="1ED1304A"/>
    <w:rsid w:val="1EF4A812"/>
    <w:rsid w:val="208A1C06"/>
    <w:rsid w:val="21A5B8C5"/>
    <w:rsid w:val="21D4F41E"/>
    <w:rsid w:val="22AA6B28"/>
    <w:rsid w:val="238A82EC"/>
    <w:rsid w:val="23DAE363"/>
    <w:rsid w:val="24667E9D"/>
    <w:rsid w:val="252B6AC5"/>
    <w:rsid w:val="258E17EF"/>
    <w:rsid w:val="25F64575"/>
    <w:rsid w:val="271F1177"/>
    <w:rsid w:val="277DF1B1"/>
    <w:rsid w:val="283B1A61"/>
    <w:rsid w:val="28ADC939"/>
    <w:rsid w:val="28B5C0E7"/>
    <w:rsid w:val="28CB77EF"/>
    <w:rsid w:val="28E5FD9F"/>
    <w:rsid w:val="29480125"/>
    <w:rsid w:val="2A1AA9DE"/>
    <w:rsid w:val="2B8B125D"/>
    <w:rsid w:val="2C303BD0"/>
    <w:rsid w:val="2C5AD4EF"/>
    <w:rsid w:val="2DF01DFD"/>
    <w:rsid w:val="2E5FF243"/>
    <w:rsid w:val="2E97462C"/>
    <w:rsid w:val="2F45100F"/>
    <w:rsid w:val="2F6B3A46"/>
    <w:rsid w:val="2FE9FB30"/>
    <w:rsid w:val="303986F1"/>
    <w:rsid w:val="305B3B66"/>
    <w:rsid w:val="317AF347"/>
    <w:rsid w:val="318B805A"/>
    <w:rsid w:val="31B7648B"/>
    <w:rsid w:val="3300B372"/>
    <w:rsid w:val="33119EF9"/>
    <w:rsid w:val="3482CE6D"/>
    <w:rsid w:val="34B07C9B"/>
    <w:rsid w:val="34C38613"/>
    <w:rsid w:val="35A585BA"/>
    <w:rsid w:val="38E2E23F"/>
    <w:rsid w:val="3A02F85E"/>
    <w:rsid w:val="3B777DF3"/>
    <w:rsid w:val="3D7C1780"/>
    <w:rsid w:val="3E5AE8BD"/>
    <w:rsid w:val="3E99A3AE"/>
    <w:rsid w:val="3EB8A9EB"/>
    <w:rsid w:val="40DCE17C"/>
    <w:rsid w:val="430F0194"/>
    <w:rsid w:val="432159A9"/>
    <w:rsid w:val="4368A810"/>
    <w:rsid w:val="43927C75"/>
    <w:rsid w:val="446CF20C"/>
    <w:rsid w:val="44A39E2B"/>
    <w:rsid w:val="4536544A"/>
    <w:rsid w:val="49502316"/>
    <w:rsid w:val="4A2B3376"/>
    <w:rsid w:val="4A8517CF"/>
    <w:rsid w:val="4AE65742"/>
    <w:rsid w:val="4B3B415D"/>
    <w:rsid w:val="4BEA8E54"/>
    <w:rsid w:val="4C4844F6"/>
    <w:rsid w:val="4C5EC082"/>
    <w:rsid w:val="4CC6C657"/>
    <w:rsid w:val="4D96F480"/>
    <w:rsid w:val="4E2429E0"/>
    <w:rsid w:val="4E4CF19E"/>
    <w:rsid w:val="4F840F8E"/>
    <w:rsid w:val="4FF0C0C0"/>
    <w:rsid w:val="503173BF"/>
    <w:rsid w:val="510FCE4E"/>
    <w:rsid w:val="515EE949"/>
    <w:rsid w:val="51BC9101"/>
    <w:rsid w:val="51C142D2"/>
    <w:rsid w:val="52DEBD3D"/>
    <w:rsid w:val="53555497"/>
    <w:rsid w:val="55450B47"/>
    <w:rsid w:val="5555513E"/>
    <w:rsid w:val="573BA099"/>
    <w:rsid w:val="57762C51"/>
    <w:rsid w:val="57A92EEF"/>
    <w:rsid w:val="57C0B370"/>
    <w:rsid w:val="58645785"/>
    <w:rsid w:val="59ED8064"/>
    <w:rsid w:val="5A0F166E"/>
    <w:rsid w:val="5AA0A023"/>
    <w:rsid w:val="5B4A9D08"/>
    <w:rsid w:val="5BF26A2D"/>
    <w:rsid w:val="5C48CBEE"/>
    <w:rsid w:val="5D3FBB0F"/>
    <w:rsid w:val="5D454B51"/>
    <w:rsid w:val="5D5BB1AB"/>
    <w:rsid w:val="5D85CFA8"/>
    <w:rsid w:val="5E2EC94C"/>
    <w:rsid w:val="5E40FCE0"/>
    <w:rsid w:val="5E591A32"/>
    <w:rsid w:val="5F38AEF5"/>
    <w:rsid w:val="5FB97C2F"/>
    <w:rsid w:val="61924F38"/>
    <w:rsid w:val="6270319D"/>
    <w:rsid w:val="6334C656"/>
    <w:rsid w:val="64063D90"/>
    <w:rsid w:val="646AE576"/>
    <w:rsid w:val="64E887E4"/>
    <w:rsid w:val="694B778B"/>
    <w:rsid w:val="69F6C69A"/>
    <w:rsid w:val="6AD91F61"/>
    <w:rsid w:val="6AF28F8F"/>
    <w:rsid w:val="6B9437FD"/>
    <w:rsid w:val="6C134996"/>
    <w:rsid w:val="6C5CB57D"/>
    <w:rsid w:val="6DC8D4D3"/>
    <w:rsid w:val="6EB533E0"/>
    <w:rsid w:val="6F23D561"/>
    <w:rsid w:val="6F89F8B1"/>
    <w:rsid w:val="706FE564"/>
    <w:rsid w:val="709089AE"/>
    <w:rsid w:val="7102C3FE"/>
    <w:rsid w:val="7254EC7B"/>
    <w:rsid w:val="733C5C04"/>
    <w:rsid w:val="745AFB65"/>
    <w:rsid w:val="75250414"/>
    <w:rsid w:val="75720F2D"/>
    <w:rsid w:val="759FA64C"/>
    <w:rsid w:val="769C000C"/>
    <w:rsid w:val="76C87579"/>
    <w:rsid w:val="784D9DEA"/>
    <w:rsid w:val="793BD07F"/>
    <w:rsid w:val="79972CC5"/>
    <w:rsid w:val="7A2166F9"/>
    <w:rsid w:val="7A287F9D"/>
    <w:rsid w:val="7AF59378"/>
    <w:rsid w:val="7C775487"/>
    <w:rsid w:val="7CD1A0EA"/>
    <w:rsid w:val="7D1EFD27"/>
    <w:rsid w:val="7D3857E9"/>
    <w:rsid w:val="7D8ED290"/>
    <w:rsid w:val="7DCFDA07"/>
    <w:rsid w:val="7DED9595"/>
    <w:rsid w:val="7E11A313"/>
    <w:rsid w:val="7EC163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C500D"/>
  <w15:docId w15:val="{B0D64B5F-2F42-4919-9F52-ACEA7A0F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9C9"/>
  </w:style>
  <w:style w:type="paragraph" w:styleId="Footer">
    <w:name w:val="footer"/>
    <w:basedOn w:val="Normal"/>
    <w:link w:val="FooterChar"/>
    <w:uiPriority w:val="99"/>
    <w:unhideWhenUsed/>
    <w:rsid w:val="006E3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9C9"/>
  </w:style>
  <w:style w:type="table" w:styleId="TableGrid">
    <w:name w:val="Table Grid"/>
    <w:basedOn w:val="TableNormal"/>
    <w:uiPriority w:val="39"/>
    <w:rsid w:val="003B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43DB"/>
    <w:pPr>
      <w:spacing w:after="0" w:line="240" w:lineRule="auto"/>
    </w:pPr>
  </w:style>
  <w:style w:type="character" w:customStyle="1" w:styleId="spelle">
    <w:name w:val="spelle"/>
    <w:basedOn w:val="DefaultParagraphFont"/>
    <w:rsid w:val="00BD17F1"/>
  </w:style>
  <w:style w:type="character" w:styleId="CommentReference">
    <w:name w:val="annotation reference"/>
    <w:basedOn w:val="DefaultParagraphFont"/>
    <w:uiPriority w:val="99"/>
    <w:semiHidden/>
    <w:unhideWhenUsed/>
    <w:rsid w:val="00E951B5"/>
    <w:rPr>
      <w:sz w:val="16"/>
      <w:szCs w:val="16"/>
    </w:rPr>
  </w:style>
  <w:style w:type="paragraph" w:styleId="CommentText">
    <w:name w:val="annotation text"/>
    <w:basedOn w:val="Normal"/>
    <w:link w:val="CommentTextChar"/>
    <w:uiPriority w:val="99"/>
    <w:unhideWhenUsed/>
    <w:rsid w:val="00E951B5"/>
    <w:pPr>
      <w:spacing w:line="240" w:lineRule="auto"/>
    </w:pPr>
    <w:rPr>
      <w:sz w:val="20"/>
      <w:szCs w:val="20"/>
    </w:rPr>
  </w:style>
  <w:style w:type="character" w:customStyle="1" w:styleId="CommentTextChar">
    <w:name w:val="Comment Text Char"/>
    <w:basedOn w:val="DefaultParagraphFont"/>
    <w:link w:val="CommentText"/>
    <w:uiPriority w:val="99"/>
    <w:rsid w:val="00E951B5"/>
    <w:rPr>
      <w:sz w:val="20"/>
      <w:szCs w:val="20"/>
    </w:rPr>
  </w:style>
  <w:style w:type="paragraph" w:styleId="CommentSubject">
    <w:name w:val="annotation subject"/>
    <w:basedOn w:val="CommentText"/>
    <w:next w:val="CommentText"/>
    <w:link w:val="CommentSubjectChar"/>
    <w:uiPriority w:val="99"/>
    <w:semiHidden/>
    <w:unhideWhenUsed/>
    <w:rsid w:val="00E951B5"/>
    <w:rPr>
      <w:b/>
      <w:bCs/>
    </w:rPr>
  </w:style>
  <w:style w:type="character" w:customStyle="1" w:styleId="CommentSubjectChar">
    <w:name w:val="Comment Subject Char"/>
    <w:basedOn w:val="CommentTextChar"/>
    <w:link w:val="CommentSubject"/>
    <w:uiPriority w:val="99"/>
    <w:semiHidden/>
    <w:rsid w:val="00E951B5"/>
    <w:rPr>
      <w:b/>
      <w:bCs/>
      <w:sz w:val="20"/>
      <w:szCs w:val="20"/>
    </w:rPr>
  </w:style>
  <w:style w:type="character" w:styleId="Hyperlink">
    <w:name w:val="Hyperlink"/>
    <w:basedOn w:val="DefaultParagraphFont"/>
    <w:uiPriority w:val="99"/>
    <w:unhideWhenUsed/>
    <w:rsid w:val="000B78CB"/>
    <w:rPr>
      <w:color w:val="0563C1" w:themeColor="hyperlink"/>
      <w:u w:val="single"/>
    </w:rPr>
  </w:style>
  <w:style w:type="character" w:styleId="UnresolvedMention">
    <w:name w:val="Unresolved Mention"/>
    <w:basedOn w:val="DefaultParagraphFont"/>
    <w:uiPriority w:val="99"/>
    <w:semiHidden/>
    <w:unhideWhenUsed/>
    <w:rsid w:val="000B78CB"/>
    <w:rPr>
      <w:color w:val="605E5C"/>
      <w:shd w:val="clear" w:color="auto" w:fill="E1DFDD"/>
    </w:rPr>
  </w:style>
  <w:style w:type="paragraph" w:styleId="NormalWeb">
    <w:name w:val="Normal (Web)"/>
    <w:basedOn w:val="Normal"/>
    <w:uiPriority w:val="99"/>
    <w:unhideWhenUsed/>
    <w:rsid w:val="00351E6F"/>
    <w:pPr>
      <w:spacing w:before="100" w:beforeAutospacing="1" w:after="100" w:afterAutospacing="1" w:line="240" w:lineRule="auto"/>
    </w:pPr>
    <w:rPr>
      <w:rFonts w:ascii="Times New Roman" w:eastAsia="Times New Roman" w:hAnsi="Times New Roman" w:cs="Times New Roman"/>
      <w:sz w:val="24"/>
      <w:szCs w:val="24"/>
      <w:lang w:val="en-DK" w:eastAsia="en-DK"/>
    </w:rPr>
  </w:style>
  <w:style w:type="character" w:styleId="Strong">
    <w:name w:val="Strong"/>
    <w:basedOn w:val="DefaultParagraphFont"/>
    <w:uiPriority w:val="22"/>
    <w:qFormat/>
    <w:rsid w:val="00351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930246">
      <w:bodyDiv w:val="1"/>
      <w:marLeft w:val="0"/>
      <w:marRight w:val="0"/>
      <w:marTop w:val="0"/>
      <w:marBottom w:val="0"/>
      <w:divBdr>
        <w:top w:val="none" w:sz="0" w:space="0" w:color="auto"/>
        <w:left w:val="none" w:sz="0" w:space="0" w:color="auto"/>
        <w:bottom w:val="none" w:sz="0" w:space="0" w:color="auto"/>
        <w:right w:val="none" w:sz="0" w:space="0" w:color="auto"/>
      </w:divBdr>
    </w:div>
    <w:div w:id="883055731">
      <w:bodyDiv w:val="1"/>
      <w:marLeft w:val="0"/>
      <w:marRight w:val="0"/>
      <w:marTop w:val="0"/>
      <w:marBottom w:val="0"/>
      <w:divBdr>
        <w:top w:val="none" w:sz="0" w:space="0" w:color="auto"/>
        <w:left w:val="none" w:sz="0" w:space="0" w:color="auto"/>
        <w:bottom w:val="none" w:sz="0" w:space="0" w:color="auto"/>
        <w:right w:val="none" w:sz="0" w:space="0" w:color="auto"/>
      </w:divBdr>
    </w:div>
    <w:div w:id="1083602389">
      <w:bodyDiv w:val="1"/>
      <w:marLeft w:val="0"/>
      <w:marRight w:val="0"/>
      <w:marTop w:val="0"/>
      <w:marBottom w:val="0"/>
      <w:divBdr>
        <w:top w:val="none" w:sz="0" w:space="0" w:color="auto"/>
        <w:left w:val="none" w:sz="0" w:space="0" w:color="auto"/>
        <w:bottom w:val="none" w:sz="0" w:space="0" w:color="auto"/>
        <w:right w:val="none" w:sz="0" w:space="0" w:color="auto"/>
      </w:divBdr>
    </w:div>
    <w:div w:id="1308165812">
      <w:bodyDiv w:val="1"/>
      <w:marLeft w:val="0"/>
      <w:marRight w:val="0"/>
      <w:marTop w:val="0"/>
      <w:marBottom w:val="0"/>
      <w:divBdr>
        <w:top w:val="none" w:sz="0" w:space="0" w:color="auto"/>
        <w:left w:val="none" w:sz="0" w:space="0" w:color="auto"/>
        <w:bottom w:val="none" w:sz="0" w:space="0" w:color="auto"/>
        <w:right w:val="none" w:sz="0" w:space="0" w:color="auto"/>
      </w:divBdr>
    </w:div>
    <w:div w:id="1502621266">
      <w:bodyDiv w:val="1"/>
      <w:marLeft w:val="0"/>
      <w:marRight w:val="0"/>
      <w:marTop w:val="0"/>
      <w:marBottom w:val="0"/>
      <w:divBdr>
        <w:top w:val="none" w:sz="0" w:space="0" w:color="auto"/>
        <w:left w:val="none" w:sz="0" w:space="0" w:color="auto"/>
        <w:bottom w:val="none" w:sz="0" w:space="0" w:color="auto"/>
        <w:right w:val="none" w:sz="0" w:space="0" w:color="auto"/>
      </w:divBdr>
    </w:div>
    <w:div w:id="202188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nordiccrane.com/no/apenhetslov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56f7d76f-8c60-4444-ac6a-cb3a83d0fd03" xsi:nil="true"/>
    <Datoforkontroll xmlns="56f7d76f-8c60-4444-ac6a-cb3a83d0fd03" xsi:nil="true"/>
    <TaxCatchAll xmlns="82db6ea2-ca29-4659-ba69-e55d62863ac4" xsi:nil="true"/>
    <Kontroll_x00f8_r xmlns="56f7d76f-8c60-4444-ac6a-cb3a83d0fd03" xsi:nil="true"/>
    <LastetinniManage xmlns="56f7d76f-8c60-4444-ac6a-cb3a83d0fd03">false</LastetinniManage>
    <Internnr xmlns="56f7d76f-8c60-4444-ac6a-cb3a83d0fd03" xsi:nil="true"/>
    <Tilh_x00f8_righet xmlns="56f7d76f-8c60-4444-ac6a-cb3a83d0fd03" xsi:nil="true"/>
    <lcf76f155ced4ddcb4097134ff3c332f xmlns="56f7d76f-8c60-4444-ac6a-cb3a83d0fd0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1EB34CEE9EA394984604C109F10C814" ma:contentTypeVersion="22" ma:contentTypeDescription="Opprett et nytt dokument." ma:contentTypeScope="" ma:versionID="b7f5a1ec6f53664bc74b8205b9220a1e">
  <xsd:schema xmlns:xsd="http://www.w3.org/2001/XMLSchema" xmlns:xs="http://www.w3.org/2001/XMLSchema" xmlns:p="http://schemas.microsoft.com/office/2006/metadata/properties" xmlns:ns2="56f7d76f-8c60-4444-ac6a-cb3a83d0fd03" xmlns:ns3="82db6ea2-ca29-4659-ba69-e55d62863ac4" targetNamespace="http://schemas.microsoft.com/office/2006/metadata/properties" ma:root="true" ma:fieldsID="dc61664ebfddfada1cee8220d3fbeded" ns2:_="" ns3:_="">
    <xsd:import namespace="56f7d76f-8c60-4444-ac6a-cb3a83d0fd03"/>
    <xsd:import namespace="82db6ea2-ca29-4659-ba69-e55d62863ac4"/>
    <xsd:element name="properties">
      <xsd:complexType>
        <xsd:sequence>
          <xsd:element name="documentManagement">
            <xsd:complexType>
              <xsd:all>
                <xsd:element ref="ns2:_x00c5_r" minOccurs="0"/>
                <xsd:element ref="ns2:Kontroll_x00f8_r" minOccurs="0"/>
                <xsd:element ref="ns2:Internnr" minOccurs="0"/>
                <xsd:element ref="ns2:Datoforkontro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Tilh_x00f8_righet" minOccurs="0"/>
                <xsd:element ref="ns2:MediaServiceAutoTags" minOccurs="0"/>
                <xsd:element ref="ns2:MediaServiceOCR" minOccurs="0"/>
                <xsd:element ref="ns2:MediaServiceGenerationTime" minOccurs="0"/>
                <xsd:element ref="ns2:MediaServiceEventHashCode" minOccurs="0"/>
                <xsd:element ref="ns2:LastetinniManag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7d76f-8c60-4444-ac6a-cb3a83d0fd03" elementFormDefault="qualified">
    <xsd:import namespace="http://schemas.microsoft.com/office/2006/documentManagement/types"/>
    <xsd:import namespace="http://schemas.microsoft.com/office/infopath/2007/PartnerControls"/>
    <xsd:element name="_x00c5_r" ma:index="8" nillable="true" ma:displayName="År" ma:format="Dropdown" ma:internalName="_x00c5_r">
      <xsd:simpleType>
        <xsd:restriction base="dms:Choice">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Kontroll_x00f8_r" ma:index="9" nillable="true" ma:displayName="Kontrollør" ma:format="Dropdown" ma:internalName="Kontroll_x00f8_r">
      <xsd:simpleType>
        <xsd:restriction base="dms:Text">
          <xsd:maxLength value="255"/>
        </xsd:restriction>
      </xsd:simpleType>
    </xsd:element>
    <xsd:element name="Internnr" ma:index="10" nillable="true" ma:displayName="Internnr" ma:format="Dropdown" ma:internalName="Internnr">
      <xsd:simpleType>
        <xsd:restriction base="dms:Text">
          <xsd:maxLength value="255"/>
        </xsd:restriction>
      </xsd:simpleType>
    </xsd:element>
    <xsd:element name="Datoforkontroll" ma:index="11" nillable="true" ma:displayName="Dato for kontroll" ma:format="DateOnly" ma:internalName="Datoforkontroll">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Tilh_x00f8_righet" ma:index="19" nillable="true" ma:displayName="Tilhørighet" ma:format="Dropdown" ma:internalName="Tilh_x00f8_righe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astetinniManage" ma:index="24" nillable="true" ma:displayName="Lastet inn i Manage" ma:default="0" ma:format="Dropdown" ma:internalName="LastetinniManage">
      <xsd:simpleType>
        <xsd:restriction base="dms:Boolean"/>
      </xsd:simpleType>
    </xsd:element>
    <xsd:element name="lcf76f155ced4ddcb4097134ff3c332f" ma:index="26" nillable="true" ma:taxonomy="true" ma:internalName="lcf76f155ced4ddcb4097134ff3c332f" ma:taxonomyFieldName="MediaServiceImageTags" ma:displayName="Bildemerkelapper" ma:readOnly="false" ma:fieldId="{5cf76f15-5ced-4ddc-b409-7134ff3c332f}" ma:taxonomyMulti="true" ma:sspId="622a861c-2f29-4a2e-a4b1-5fdf7b6e25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b6ea2-ca29-4659-ba69-e55d62863ac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7" nillable="true" ma:displayName="Taxonomy Catch All Column" ma:hidden="true" ma:list="{c26b65c4-64d0-43ec-818c-45ef3011da60}" ma:internalName="TaxCatchAll" ma:showField="CatchAllData" ma:web="82db6ea2-ca29-4659-ba69-e55d62863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5C313-7FA6-4C0E-9FA1-B8BEECF75F5A}">
  <ds:schemaRefs>
    <ds:schemaRef ds:uri="http://schemas.microsoft.com/sharepoint/v3/contenttype/forms"/>
  </ds:schemaRefs>
</ds:datastoreItem>
</file>

<file path=customXml/itemProps2.xml><?xml version="1.0" encoding="utf-8"?>
<ds:datastoreItem xmlns:ds="http://schemas.openxmlformats.org/officeDocument/2006/customXml" ds:itemID="{A8AAF057-71F9-4131-AEE8-928291D1E3F3}">
  <ds:schemaRefs>
    <ds:schemaRef ds:uri="http://schemas.microsoft.com/office/2006/metadata/properties"/>
    <ds:schemaRef ds:uri="http://schemas.microsoft.com/office/infopath/2007/PartnerControls"/>
    <ds:schemaRef ds:uri="56f7d76f-8c60-4444-ac6a-cb3a83d0fd03"/>
    <ds:schemaRef ds:uri="82db6ea2-ca29-4659-ba69-e55d62863ac4"/>
  </ds:schemaRefs>
</ds:datastoreItem>
</file>

<file path=customXml/itemProps3.xml><?xml version="1.0" encoding="utf-8"?>
<ds:datastoreItem xmlns:ds="http://schemas.openxmlformats.org/officeDocument/2006/customXml" ds:itemID="{023877CE-CA34-4B19-9C40-A048092CC61C}">
  <ds:schemaRefs>
    <ds:schemaRef ds:uri="http://schemas.openxmlformats.org/officeDocument/2006/bibliography"/>
  </ds:schemaRefs>
</ds:datastoreItem>
</file>

<file path=customXml/itemProps4.xml><?xml version="1.0" encoding="utf-8"?>
<ds:datastoreItem xmlns:ds="http://schemas.openxmlformats.org/officeDocument/2006/customXml" ds:itemID="{A73641B5-3874-4105-A8C5-D49CFAFF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7d76f-8c60-4444-ac6a-cb3a83d0fd03"/>
    <ds:schemaRef ds:uri="82db6ea2-ca29-4659-ba69-e55d62863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Ivar Myhre</dc:creator>
  <cp:keywords/>
  <dc:description/>
  <cp:lastModifiedBy>Chris Overgaard Nielsen</cp:lastModifiedBy>
  <cp:revision>2</cp:revision>
  <dcterms:created xsi:type="dcterms:W3CDTF">2024-06-06T06:05:00Z</dcterms:created>
  <dcterms:modified xsi:type="dcterms:W3CDTF">2024-06-06T06:05:00Z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0x010100E1EB34CEE9EA394984604C109F10C814</vt:lpwstr>
  </property>
  <property fmtid="{D5CDD505-2E9C-101B-9397-08002B2CF9AE}" pid="3" name="MediaServiceImageTags">
    <vt:lpwstr/>
  </property>
</Properties>
</file>